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B527" w14:textId="77777777" w:rsidR="00C607EC" w:rsidRPr="00C607EC" w:rsidRDefault="00F42908" w:rsidP="00C607EC">
      <w:pPr>
        <w:pStyle w:val="NormalWeb"/>
        <w:spacing w:before="0" w:beforeAutospacing="0" w:after="0" w:afterAutospacing="0"/>
        <w:jc w:val="center"/>
        <w:rPr>
          <w:b/>
          <w:bCs/>
          <w:color w:val="131313"/>
          <w:sz w:val="32"/>
          <w:szCs w:val="32"/>
        </w:rPr>
      </w:pPr>
      <w:r w:rsidRPr="00C607EC">
        <w:rPr>
          <w:b/>
          <w:bCs/>
          <w:color w:val="131313"/>
          <w:sz w:val="32"/>
          <w:szCs w:val="32"/>
        </w:rPr>
        <w:t>Highlands County Tourist Development Council</w:t>
      </w:r>
    </w:p>
    <w:p w14:paraId="48AB6419" w14:textId="77777777" w:rsidR="00C607EC" w:rsidRDefault="00F42908" w:rsidP="00C607EC">
      <w:pPr>
        <w:pStyle w:val="NormalWeb"/>
        <w:spacing w:before="0" w:beforeAutospacing="0" w:after="0" w:afterAutospacing="0"/>
        <w:jc w:val="center"/>
        <w:rPr>
          <w:b/>
          <w:bCs/>
          <w:color w:val="131313"/>
        </w:rPr>
      </w:pPr>
      <w:r>
        <w:rPr>
          <w:b/>
          <w:bCs/>
          <w:color w:val="131313"/>
        </w:rPr>
        <w:t xml:space="preserve">Proposed </w:t>
      </w:r>
      <w:r w:rsidRPr="00C607EC">
        <w:rPr>
          <w:b/>
          <w:bCs/>
          <w:color w:val="131313"/>
        </w:rPr>
        <w:t>Grant Funding Categories &amp; Overviews</w:t>
      </w:r>
    </w:p>
    <w:p w14:paraId="722BDF22" w14:textId="77777777" w:rsidR="00427DAD" w:rsidRDefault="00E72B3F" w:rsidP="00D618EA">
      <w:pPr>
        <w:pStyle w:val="NormalWeb"/>
        <w:spacing w:before="0" w:beforeAutospacing="0" w:after="0" w:afterAutospacing="0"/>
        <w:rPr>
          <w:color w:val="131313"/>
        </w:rPr>
      </w:pPr>
    </w:p>
    <w:p w14:paraId="181C0334" w14:textId="77777777" w:rsidR="00D618EA" w:rsidRPr="00D618EA" w:rsidRDefault="00F42908" w:rsidP="00D73AD5">
      <w:pPr>
        <w:pStyle w:val="NormalWeb"/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Are you planning an event or conference in the Sebring, Avon Park or Lake Placid area?  </w:t>
      </w:r>
      <w:r w:rsidRPr="00D618EA">
        <w:rPr>
          <w:color w:val="131313"/>
        </w:rPr>
        <w:t xml:space="preserve">We understand that sometimes you need a little financial help to bring your vision to life. That’s why </w:t>
      </w:r>
      <w:r w:rsidRPr="00D73AD5">
        <w:rPr>
          <w:i/>
          <w:color w:val="131313"/>
        </w:rPr>
        <w:t>Visit</w:t>
      </w:r>
      <w:r>
        <w:rPr>
          <w:i/>
          <w:color w:val="131313"/>
        </w:rPr>
        <w:t xml:space="preserve"> </w:t>
      </w:r>
      <w:r w:rsidRPr="00D73AD5">
        <w:rPr>
          <w:i/>
          <w:color w:val="131313"/>
        </w:rPr>
        <w:t>Sebring</w:t>
      </w:r>
      <w:r w:rsidRPr="00D618EA">
        <w:rPr>
          <w:color w:val="131313"/>
        </w:rPr>
        <w:t xml:space="preserve"> offers grant programs to help fund various types of even</w:t>
      </w:r>
      <w:r>
        <w:rPr>
          <w:color w:val="131313"/>
        </w:rPr>
        <w:t>ts held in the Highlands County area</w:t>
      </w:r>
      <w:r w:rsidRPr="00D618EA">
        <w:rPr>
          <w:color w:val="131313"/>
        </w:rPr>
        <w:t>.</w:t>
      </w:r>
      <w:r w:rsidRPr="00D618EA">
        <w:rPr>
          <w:rStyle w:val="apple-converted-space"/>
          <w:color w:val="131313"/>
        </w:rPr>
        <w:t> </w:t>
      </w:r>
      <w:r w:rsidRPr="00D618EA">
        <w:rPr>
          <w:color w:val="131313"/>
        </w:rPr>
        <w:t>Explore our different funding programs and see which one is best for your event.</w:t>
      </w:r>
      <w:r>
        <w:rPr>
          <w:color w:val="131313"/>
        </w:rPr>
        <w:t xml:space="preserve">  </w:t>
      </w:r>
      <w:r w:rsidRPr="00D618EA">
        <w:rPr>
          <w:color w:val="131313"/>
        </w:rPr>
        <w:t xml:space="preserve">Please ensure that you are using the correct application for your event. </w:t>
      </w:r>
      <w:r w:rsidRPr="00241168">
        <w:rPr>
          <w:color w:val="131313"/>
        </w:rPr>
        <w:t>It is highly recommended for grant organizers to meet with TDC staff (either in person or via phone) prior to submitting a request for funding</w:t>
      </w:r>
      <w:r>
        <w:rPr>
          <w:color w:val="131313"/>
        </w:rPr>
        <w:t>.  For questions</w:t>
      </w:r>
      <w:r w:rsidRPr="00D618EA">
        <w:rPr>
          <w:color w:val="131313"/>
        </w:rPr>
        <w:t xml:space="preserve">, </w:t>
      </w:r>
      <w:r>
        <w:rPr>
          <w:color w:val="131313"/>
        </w:rPr>
        <w:t>please call (863) 402-6909</w:t>
      </w:r>
      <w:r w:rsidRPr="00D618EA">
        <w:rPr>
          <w:color w:val="131313"/>
        </w:rPr>
        <w:t>.</w:t>
      </w:r>
    </w:p>
    <w:p w14:paraId="05B3B271" w14:textId="77777777" w:rsidR="00D618EA" w:rsidRDefault="00E72B3F" w:rsidP="004F0E10">
      <w:pPr>
        <w:pStyle w:val="NormalWeb"/>
        <w:spacing w:before="0" w:beforeAutospacing="0" w:after="0" w:afterAutospacing="0"/>
        <w:rPr>
          <w:rStyle w:val="Strong"/>
          <w:color w:val="131313"/>
        </w:rPr>
      </w:pPr>
    </w:p>
    <w:p w14:paraId="59D156A4" w14:textId="77777777" w:rsidR="004F0E10" w:rsidRPr="008371A9" w:rsidRDefault="00F42908" w:rsidP="004F0E10">
      <w:pPr>
        <w:pStyle w:val="NormalWeb"/>
        <w:spacing w:before="0" w:beforeAutospacing="0" w:after="0" w:afterAutospacing="0"/>
        <w:rPr>
          <w:color w:val="131313"/>
          <w:u w:val="single"/>
        </w:rPr>
      </w:pPr>
      <w:r w:rsidRPr="008371A9">
        <w:rPr>
          <w:rStyle w:val="Strong"/>
          <w:color w:val="131313"/>
          <w:u w:val="single"/>
        </w:rPr>
        <w:t>High Impact Signature Events</w:t>
      </w:r>
    </w:p>
    <w:p w14:paraId="4EF5B741" w14:textId="77777777" w:rsidR="004F0E10" w:rsidRPr="004F0E10" w:rsidRDefault="00F42908" w:rsidP="00D47A44">
      <w:pPr>
        <w:pStyle w:val="NormalWeb"/>
        <w:spacing w:before="0" w:beforeAutospacing="0" w:after="120" w:afterAutospacing="0"/>
        <w:jc w:val="both"/>
        <w:rPr>
          <w:color w:val="131313"/>
        </w:rPr>
      </w:pPr>
      <w:r w:rsidRPr="004F0E10">
        <w:rPr>
          <w:color w:val="131313"/>
        </w:rPr>
        <w:t xml:space="preserve">For </w:t>
      </w:r>
      <w:r>
        <w:rPr>
          <w:color w:val="131313"/>
        </w:rPr>
        <w:t xml:space="preserve">re-occurring </w:t>
      </w:r>
      <w:r w:rsidRPr="004F0E10">
        <w:rPr>
          <w:color w:val="131313"/>
        </w:rPr>
        <w:t xml:space="preserve">events in </w:t>
      </w:r>
      <w:r>
        <w:rPr>
          <w:color w:val="131313"/>
        </w:rPr>
        <w:t>Sebring/Highlands C</w:t>
      </w:r>
      <w:r w:rsidRPr="004F0E10">
        <w:rPr>
          <w:color w:val="131313"/>
        </w:rPr>
        <w:t>ounty that</w:t>
      </w:r>
      <w:r>
        <w:rPr>
          <w:color w:val="131313"/>
        </w:rPr>
        <w:t>:</w:t>
      </w:r>
      <w:r w:rsidRPr="004F0E10">
        <w:rPr>
          <w:color w:val="131313"/>
        </w:rPr>
        <w:t xml:space="preserve"> attract visitors</w:t>
      </w:r>
      <w:r>
        <w:rPr>
          <w:color w:val="131313"/>
        </w:rPr>
        <w:t xml:space="preserve"> during</w:t>
      </w:r>
      <w:r w:rsidRPr="004F0E10">
        <w:rPr>
          <w:color w:val="131313"/>
        </w:rPr>
        <w:t xml:space="preserve"> April-December; encourage increased visitor spending in destination</w:t>
      </w:r>
      <w:r>
        <w:rPr>
          <w:color w:val="131313"/>
        </w:rPr>
        <w:t xml:space="preserve">; </w:t>
      </w:r>
      <w:r w:rsidRPr="004F0E10">
        <w:rPr>
          <w:color w:val="131313"/>
        </w:rPr>
        <w:t xml:space="preserve">reinforce a positive image of </w:t>
      </w:r>
      <w:r>
        <w:rPr>
          <w:color w:val="131313"/>
        </w:rPr>
        <w:t xml:space="preserve">the </w:t>
      </w:r>
      <w:r w:rsidRPr="004F0E10">
        <w:rPr>
          <w:color w:val="131313"/>
        </w:rPr>
        <w:t>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; </w:t>
      </w:r>
      <w:r>
        <w:rPr>
          <w:color w:val="131313"/>
        </w:rPr>
        <w:t>amplify the experience economy; leverage and promote the Sebring brand;</w:t>
      </w:r>
      <w:r w:rsidRPr="004F0E10">
        <w:rPr>
          <w:color w:val="131313"/>
        </w:rPr>
        <w:t xml:space="preserve"> and provide added value to the </w:t>
      </w:r>
      <w:r>
        <w:rPr>
          <w:color w:val="131313"/>
        </w:rPr>
        <w:t>v</w:t>
      </w:r>
      <w:r w:rsidRPr="004F0E10">
        <w:rPr>
          <w:color w:val="131313"/>
        </w:rPr>
        <w:t xml:space="preserve">isitor </w:t>
      </w:r>
      <w:r>
        <w:rPr>
          <w:color w:val="131313"/>
        </w:rPr>
        <w:t>e</w:t>
      </w:r>
      <w:r w:rsidRPr="004F0E10">
        <w:rPr>
          <w:color w:val="131313"/>
        </w:rPr>
        <w:t>xperience.</w:t>
      </w:r>
    </w:p>
    <w:p w14:paraId="4384251C" w14:textId="77777777" w:rsidR="004F0E10" w:rsidRPr="004F0E10" w:rsidRDefault="00F42908" w:rsidP="004F0E10">
      <w:pPr>
        <w:pStyle w:val="NormalWeb"/>
        <w:spacing w:before="0" w:beforeAutospacing="0" w:after="0" w:afterAutospacing="0"/>
        <w:rPr>
          <w:color w:val="131313"/>
        </w:rPr>
      </w:pPr>
      <w:r>
        <w:rPr>
          <w:color w:val="131313"/>
        </w:rPr>
        <w:t>Criteria</w:t>
      </w:r>
      <w:r w:rsidRPr="004F0E10">
        <w:rPr>
          <w:color w:val="131313"/>
        </w:rPr>
        <w:t>:</w:t>
      </w:r>
    </w:p>
    <w:p w14:paraId="3F907D9C" w14:textId="77777777" w:rsidR="004F0E10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 xml:space="preserve">Attendees: At least 1,000 verified room nights </w:t>
      </w:r>
      <w:r w:rsidRPr="00241168">
        <w:rPr>
          <w:color w:val="131313"/>
          <w:u w:val="single"/>
        </w:rPr>
        <w:t>and/or</w:t>
      </w:r>
      <w:r w:rsidRPr="00241168">
        <w:rPr>
          <w:color w:val="131313"/>
        </w:rPr>
        <w:t xml:space="preserve"> at least 10,000 verified attendees with at least 30% attendees verified from outside the county. </w:t>
      </w:r>
    </w:p>
    <w:p w14:paraId="252FACBB" w14:textId="77777777" w:rsidR="004F0E10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Duration of event:  </w:t>
      </w:r>
      <w:r w:rsidRPr="00241168">
        <w:rPr>
          <w:color w:val="131313"/>
        </w:rPr>
        <w:t>At least a two-day event with overnight (either night or early morning) component</w:t>
      </w:r>
    </w:p>
    <w:p w14:paraId="31023A5B" w14:textId="77777777" w:rsidR="004F0E10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>Maximum funding: $65,000 based on $20/verified room night</w:t>
      </w:r>
    </w:p>
    <w:p w14:paraId="3D858648" w14:textId="77777777" w:rsidR="00C13BCC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>Minimum funding: $5,000 based on $0.50/verified attendee</w:t>
      </w:r>
    </w:p>
    <w:p w14:paraId="467D4E19" w14:textId="765C6709" w:rsidR="00BC4075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 xml:space="preserve">Application period: Must meet with TDC staff in person or via phone.  Applicants will submit a letter of intent by June 1; application is </w:t>
      </w:r>
      <w:r w:rsidRPr="00412B99">
        <w:rPr>
          <w:color w:val="000000" w:themeColor="text1"/>
        </w:rPr>
        <w:t xml:space="preserve">due </w:t>
      </w:r>
      <w:r w:rsidR="00FC5922" w:rsidRPr="00412B99">
        <w:rPr>
          <w:color w:val="000000" w:themeColor="text1"/>
        </w:rPr>
        <w:t>September 1</w:t>
      </w:r>
      <w:r w:rsidRPr="00412B99">
        <w:rPr>
          <w:color w:val="000000" w:themeColor="text1"/>
        </w:rPr>
        <w:t xml:space="preserve">.  </w:t>
      </w:r>
      <w:r w:rsidRPr="00241168">
        <w:rPr>
          <w:color w:val="131313"/>
        </w:rPr>
        <w:t xml:space="preserve">TDC will review grant requests at their October TDC meeting for events </w:t>
      </w:r>
      <w:r w:rsidR="00FC5922">
        <w:rPr>
          <w:color w:val="131313"/>
        </w:rPr>
        <w:t>scheduled for the following year</w:t>
      </w:r>
      <w:r w:rsidRPr="00241168">
        <w:rPr>
          <w:color w:val="131313"/>
        </w:rPr>
        <w:t xml:space="preserve">. </w:t>
      </w:r>
    </w:p>
    <w:p w14:paraId="5029FC08" w14:textId="77777777" w:rsidR="00CB121F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Meeting:  Must meet with TDC staff in person or via telephone.</w:t>
      </w:r>
    </w:p>
    <w:p w14:paraId="75B6AEC5" w14:textId="77777777" w:rsidR="00BC4075" w:rsidRPr="00241168" w:rsidRDefault="00F42908" w:rsidP="004757D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Special consideration: i</w:t>
      </w:r>
      <w:r w:rsidRPr="00241168">
        <w:rPr>
          <w:color w:val="131313"/>
        </w:rPr>
        <w:t xml:space="preserve">f </w:t>
      </w:r>
      <w:r>
        <w:rPr>
          <w:color w:val="131313"/>
        </w:rPr>
        <w:t xml:space="preserve">a </w:t>
      </w:r>
      <w:r w:rsidRPr="00241168">
        <w:rPr>
          <w:color w:val="131313"/>
        </w:rPr>
        <w:t xml:space="preserve">request exceeds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maximum threshold,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event organizer must meet with TDC staff </w:t>
      </w:r>
      <w:r>
        <w:rPr>
          <w:color w:val="131313"/>
        </w:rPr>
        <w:t xml:space="preserve">to </w:t>
      </w:r>
      <w:r w:rsidRPr="00241168">
        <w:rPr>
          <w:color w:val="131313"/>
        </w:rPr>
        <w:t xml:space="preserve">explain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request.  If TDC staff deems </w:t>
      </w:r>
      <w:r>
        <w:rPr>
          <w:color w:val="131313"/>
        </w:rPr>
        <w:t xml:space="preserve">the request </w:t>
      </w:r>
      <w:r w:rsidRPr="00241168">
        <w:rPr>
          <w:color w:val="131313"/>
        </w:rPr>
        <w:t xml:space="preserve">appropriate, they can recommend </w:t>
      </w:r>
      <w:r>
        <w:rPr>
          <w:color w:val="131313"/>
        </w:rPr>
        <w:t xml:space="preserve">placement of </w:t>
      </w:r>
      <w:r w:rsidRPr="00241168">
        <w:rPr>
          <w:color w:val="131313"/>
        </w:rPr>
        <w:t xml:space="preserve">the request on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TDC agenda for special consideration.  </w:t>
      </w:r>
    </w:p>
    <w:p w14:paraId="7C5BC309" w14:textId="77777777" w:rsidR="00C607EC" w:rsidRDefault="00E72B3F" w:rsidP="00C607EC">
      <w:pPr>
        <w:pStyle w:val="NormalWeb"/>
        <w:spacing w:before="0" w:beforeAutospacing="0" w:after="0" w:afterAutospacing="0"/>
        <w:rPr>
          <w:color w:val="131313"/>
        </w:rPr>
      </w:pPr>
    </w:p>
    <w:p w14:paraId="675619B1" w14:textId="77777777" w:rsidR="00C607EC" w:rsidRPr="009F6D90" w:rsidRDefault="00F42908" w:rsidP="00C607EC">
      <w:pPr>
        <w:rPr>
          <w:rFonts w:ascii="Times New Roman" w:hAnsi="Times New Roman" w:cs="Times New Roman"/>
          <w:b/>
          <w:bCs/>
          <w:u w:val="single"/>
        </w:rPr>
      </w:pPr>
      <w:r w:rsidRPr="009F6D90">
        <w:rPr>
          <w:rFonts w:ascii="Times New Roman" w:hAnsi="Times New Roman" w:cs="Times New Roman"/>
          <w:b/>
          <w:bCs/>
          <w:u w:val="single"/>
        </w:rPr>
        <w:t>New Events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D248B04" w14:textId="77777777" w:rsidR="00C607EC" w:rsidRPr="009F6D90" w:rsidRDefault="00F42908" w:rsidP="00D47A44">
      <w:pPr>
        <w:spacing w:after="120"/>
        <w:jc w:val="both"/>
        <w:rPr>
          <w:rFonts w:ascii="Times New Roman" w:hAnsi="Times New Roman" w:cs="Times New Roman"/>
        </w:rPr>
      </w:pPr>
      <w:r w:rsidRPr="009F6D90">
        <w:rPr>
          <w:rFonts w:ascii="Times New Roman" w:hAnsi="Times New Roman" w:cs="Times New Roman"/>
        </w:rPr>
        <w:t>For new events in Sebring/Highlands County, which have not been held previously in Highlands County, with plans to be a re-occurring event that will increase out</w:t>
      </w:r>
      <w:r>
        <w:rPr>
          <w:rFonts w:ascii="Times New Roman" w:hAnsi="Times New Roman" w:cs="Times New Roman"/>
        </w:rPr>
        <w:t>side</w:t>
      </w:r>
      <w:r w:rsidRPr="009F6D90">
        <w:rPr>
          <w:rFonts w:ascii="Times New Roman" w:hAnsi="Times New Roman" w:cs="Times New Roman"/>
        </w:rPr>
        <w:t xml:space="preserve">-of-county attendees each year during April-December.  </w:t>
      </w:r>
    </w:p>
    <w:p w14:paraId="2DF611FD" w14:textId="77777777" w:rsidR="00C607EC" w:rsidRPr="009F6D90" w:rsidRDefault="00F42908" w:rsidP="00C607EC">
      <w:pPr>
        <w:pStyle w:val="NormalWeb"/>
        <w:spacing w:before="0" w:beforeAutospacing="0" w:after="0" w:afterAutospacing="0"/>
        <w:rPr>
          <w:color w:val="131313"/>
        </w:rPr>
      </w:pPr>
      <w:r>
        <w:rPr>
          <w:color w:val="131313"/>
        </w:rPr>
        <w:t>Criteria</w:t>
      </w:r>
      <w:r w:rsidRPr="009F6D90">
        <w:rPr>
          <w:color w:val="131313"/>
        </w:rPr>
        <w:t>:</w:t>
      </w:r>
    </w:p>
    <w:p w14:paraId="541CE25D" w14:textId="77777777" w:rsidR="00C607EC" w:rsidRPr="009F6D90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Plan: </w:t>
      </w:r>
      <w:r w:rsidRPr="009F6D90">
        <w:rPr>
          <w:color w:val="131313"/>
        </w:rPr>
        <w:t>A business plan outlining how the re-occurring event will increase out</w:t>
      </w:r>
      <w:r>
        <w:rPr>
          <w:color w:val="131313"/>
        </w:rPr>
        <w:t>side</w:t>
      </w:r>
      <w:r w:rsidRPr="009F6D90">
        <w:rPr>
          <w:color w:val="131313"/>
        </w:rPr>
        <w:t>-of-county attendees each year</w:t>
      </w:r>
    </w:p>
    <w:p w14:paraId="7324E040" w14:textId="77777777" w:rsidR="00C607EC" w:rsidRPr="009F6D90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Duration:  </w:t>
      </w:r>
      <w:r w:rsidRPr="009F6D90">
        <w:rPr>
          <w:color w:val="131313"/>
        </w:rPr>
        <w:t>A minimum two-day event with overnight (either night or early morning) component</w:t>
      </w:r>
    </w:p>
    <w:p w14:paraId="68BBE89D" w14:textId="77777777" w:rsidR="00C607EC" w:rsidRPr="009F6D90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Maximum funding:  Year 1 -- </w:t>
      </w:r>
      <w:r w:rsidRPr="009F6D90">
        <w:rPr>
          <w:color w:val="131313"/>
        </w:rPr>
        <w:t>Max</w:t>
      </w:r>
      <w:r>
        <w:rPr>
          <w:color w:val="131313"/>
        </w:rPr>
        <w:t>imum</w:t>
      </w:r>
      <w:r w:rsidRPr="009F6D90">
        <w:rPr>
          <w:color w:val="131313"/>
        </w:rPr>
        <w:t xml:space="preserve"> funding for year #1 only: $20,000 based on scoring; no room night verifications. Opportunity for an additional $20/room night reimbursement based on verified rooms. </w:t>
      </w:r>
      <w:r>
        <w:rPr>
          <w:color w:val="131313"/>
        </w:rPr>
        <w:t xml:space="preserve">  Years #2 and #3 - </w:t>
      </w:r>
      <w:r w:rsidRPr="009F6D90">
        <w:rPr>
          <w:color w:val="131313"/>
        </w:rPr>
        <w:t>ear #2 &amp; #3: $10,000 based on scoring; no room night verifications. Opportunity for an additional $20/room night reimbursement based on verified rooms.</w:t>
      </w:r>
    </w:p>
    <w:p w14:paraId="0BD7C87F" w14:textId="77777777" w:rsidR="000A30A1" w:rsidRPr="009F6D90" w:rsidRDefault="00E72B3F" w:rsidP="004757D4">
      <w:pPr>
        <w:pStyle w:val="NormalWeb"/>
        <w:spacing w:before="0" w:beforeAutospacing="0" w:after="0" w:afterAutospacing="0"/>
        <w:ind w:left="720"/>
        <w:jc w:val="both"/>
        <w:rPr>
          <w:color w:val="131313"/>
        </w:rPr>
      </w:pPr>
    </w:p>
    <w:p w14:paraId="70337478" w14:textId="77777777" w:rsidR="000A30A1" w:rsidRPr="009F6D90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Growth:  </w:t>
      </w:r>
      <w:r w:rsidRPr="009F6D90">
        <w:rPr>
          <w:color w:val="131313"/>
        </w:rPr>
        <w:t xml:space="preserve">Event must prove growth in attendance and overnight rooms each year. </w:t>
      </w:r>
    </w:p>
    <w:p w14:paraId="0108129D" w14:textId="77777777" w:rsidR="00C607EC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Application period: Quarterly at TDC meetings; application must be approved by TDC no later than 6 months before event</w:t>
      </w:r>
    </w:p>
    <w:p w14:paraId="2DBEBD9E" w14:textId="728DC855" w:rsidR="00755A80" w:rsidRPr="00412B99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131313"/>
        </w:rPr>
        <w:t xml:space="preserve">Funding: </w:t>
      </w:r>
      <w:r w:rsidRPr="00412B99">
        <w:rPr>
          <w:color w:val="000000" w:themeColor="text1"/>
        </w:rPr>
        <w:t>Can b</w:t>
      </w:r>
      <w:r w:rsidR="00FC5922" w:rsidRPr="00412B99">
        <w:rPr>
          <w:color w:val="000000" w:themeColor="text1"/>
        </w:rPr>
        <w:t>e</w:t>
      </w:r>
      <w:r w:rsidRPr="00412B99">
        <w:rPr>
          <w:color w:val="000000" w:themeColor="text1"/>
        </w:rPr>
        <w:t xml:space="preserve"> via grant or TDC can pay directly for marketing, entertainment, facility rental, A/V equipment rental, TDC staff approved attendee shirts/promotional items, </w:t>
      </w:r>
      <w:r w:rsidR="00FC5922" w:rsidRPr="00412B99">
        <w:rPr>
          <w:color w:val="000000" w:themeColor="text1"/>
        </w:rPr>
        <w:t xml:space="preserve">MOT fees, </w:t>
      </w:r>
      <w:r w:rsidRPr="00412B99">
        <w:rPr>
          <w:color w:val="000000" w:themeColor="text1"/>
        </w:rPr>
        <w:t xml:space="preserve">etc. </w:t>
      </w:r>
    </w:p>
    <w:p w14:paraId="097D332A" w14:textId="77777777" w:rsidR="00BC4075" w:rsidRPr="00241168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Special consideration:  </w:t>
      </w:r>
      <w:r w:rsidRPr="00241168">
        <w:rPr>
          <w:color w:val="131313"/>
        </w:rPr>
        <w:t xml:space="preserve">If </w:t>
      </w:r>
      <w:r>
        <w:rPr>
          <w:color w:val="131313"/>
        </w:rPr>
        <w:t xml:space="preserve">a </w:t>
      </w:r>
      <w:r w:rsidRPr="00241168">
        <w:rPr>
          <w:color w:val="131313"/>
        </w:rPr>
        <w:t>request exceeds</w:t>
      </w:r>
      <w:r>
        <w:rPr>
          <w:color w:val="131313"/>
        </w:rPr>
        <w:t xml:space="preserve"> the</w:t>
      </w:r>
      <w:r w:rsidRPr="00241168">
        <w:rPr>
          <w:color w:val="131313"/>
        </w:rPr>
        <w:t xml:space="preserve"> maximum threshold,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event organizer must meet with TDC staff and explain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request.  If TDC staff deems </w:t>
      </w:r>
      <w:r>
        <w:rPr>
          <w:color w:val="131313"/>
        </w:rPr>
        <w:t xml:space="preserve">the request </w:t>
      </w:r>
      <w:r w:rsidRPr="00241168">
        <w:rPr>
          <w:color w:val="131313"/>
        </w:rPr>
        <w:t xml:space="preserve">appropriate, they can recommend </w:t>
      </w:r>
      <w:r>
        <w:rPr>
          <w:color w:val="131313"/>
        </w:rPr>
        <w:t xml:space="preserve">placement of </w:t>
      </w:r>
      <w:r w:rsidRPr="00241168">
        <w:rPr>
          <w:color w:val="131313"/>
        </w:rPr>
        <w:t xml:space="preserve">the request on </w:t>
      </w:r>
      <w:r>
        <w:rPr>
          <w:color w:val="131313"/>
        </w:rPr>
        <w:t xml:space="preserve">the </w:t>
      </w:r>
      <w:r w:rsidRPr="00241168">
        <w:rPr>
          <w:color w:val="131313"/>
        </w:rPr>
        <w:t xml:space="preserve">TDC agenda for special consideration.  </w:t>
      </w:r>
    </w:p>
    <w:p w14:paraId="23208C4B" w14:textId="77777777" w:rsidR="00BC4075" w:rsidRPr="00C607EC" w:rsidRDefault="00F42908" w:rsidP="00DC7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Meeting:  Event organizer must meet with TDC staff (either in person or via phone) and discuss the event and their financial request. </w:t>
      </w:r>
    </w:p>
    <w:p w14:paraId="32B2D3A7" w14:textId="77777777" w:rsidR="004F0E10" w:rsidRPr="004F0E10" w:rsidRDefault="00E72B3F" w:rsidP="004F0E10">
      <w:pPr>
        <w:pStyle w:val="NormalWeb"/>
        <w:spacing w:before="0" w:beforeAutospacing="0" w:after="0" w:afterAutospacing="0"/>
        <w:rPr>
          <w:color w:val="131313"/>
        </w:rPr>
      </w:pPr>
    </w:p>
    <w:p w14:paraId="116E8AEB" w14:textId="77777777" w:rsidR="004F0E10" w:rsidRPr="008371A9" w:rsidRDefault="00F42908" w:rsidP="004F0E10">
      <w:pPr>
        <w:pStyle w:val="NormalWeb"/>
        <w:spacing w:before="0" w:beforeAutospacing="0" w:after="0" w:afterAutospacing="0"/>
        <w:rPr>
          <w:color w:val="131313"/>
          <w:u w:val="single"/>
        </w:rPr>
      </w:pPr>
      <w:r w:rsidRPr="008371A9">
        <w:rPr>
          <w:rStyle w:val="Strong"/>
          <w:color w:val="131313"/>
          <w:u w:val="single"/>
        </w:rPr>
        <w:t>Community Events</w:t>
      </w:r>
    </w:p>
    <w:p w14:paraId="58D42203" w14:textId="77777777" w:rsidR="004F0E10" w:rsidRPr="004F0E10" w:rsidRDefault="00F42908" w:rsidP="00DC5156">
      <w:pPr>
        <w:pStyle w:val="NormalWeb"/>
        <w:spacing w:before="0" w:beforeAutospacing="0" w:after="120" w:afterAutospacing="0"/>
        <w:jc w:val="both"/>
        <w:rPr>
          <w:color w:val="131313"/>
        </w:rPr>
      </w:pPr>
      <w:r w:rsidRPr="004F0E10">
        <w:rPr>
          <w:color w:val="131313"/>
        </w:rPr>
        <w:t xml:space="preserve">For events in </w:t>
      </w:r>
      <w:r>
        <w:rPr>
          <w:color w:val="131313"/>
        </w:rPr>
        <w:t>Sebring/Highlands C</w:t>
      </w:r>
      <w:r w:rsidRPr="004F0E10">
        <w:rPr>
          <w:color w:val="131313"/>
        </w:rPr>
        <w:t xml:space="preserve">ounty that provide community-based recreation </w:t>
      </w:r>
      <w:r>
        <w:rPr>
          <w:color w:val="131313"/>
        </w:rPr>
        <w:t xml:space="preserve">during </w:t>
      </w:r>
      <w:r w:rsidRPr="004F0E10">
        <w:rPr>
          <w:color w:val="131313"/>
        </w:rPr>
        <w:t xml:space="preserve">April-December for locals and visitors alike in </w:t>
      </w:r>
      <w:r>
        <w:rPr>
          <w:color w:val="131313"/>
        </w:rPr>
        <w:t xml:space="preserve">the </w:t>
      </w:r>
      <w:r w:rsidRPr="004F0E10">
        <w:rPr>
          <w:color w:val="131313"/>
        </w:rPr>
        <w:t>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; encourage increased local and visitor spending; reinforce a positive image of </w:t>
      </w:r>
      <w:r>
        <w:rPr>
          <w:color w:val="131313"/>
        </w:rPr>
        <w:t xml:space="preserve">the </w:t>
      </w:r>
      <w:r w:rsidRPr="004F0E10">
        <w:rPr>
          <w:color w:val="131313"/>
        </w:rPr>
        <w:t>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; </w:t>
      </w:r>
      <w:r>
        <w:rPr>
          <w:color w:val="131313"/>
        </w:rPr>
        <w:t xml:space="preserve">amplify the experience economy; leverage and promote the Sebring brand; </w:t>
      </w:r>
      <w:r w:rsidRPr="004F0E10">
        <w:rPr>
          <w:color w:val="131313"/>
        </w:rPr>
        <w:t>and provide added value to the 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 visitors </w:t>
      </w:r>
      <w:r>
        <w:rPr>
          <w:color w:val="131313"/>
        </w:rPr>
        <w:t>during their stay</w:t>
      </w:r>
      <w:r w:rsidRPr="004F0E10">
        <w:rPr>
          <w:color w:val="131313"/>
        </w:rPr>
        <w:t>.</w:t>
      </w:r>
    </w:p>
    <w:p w14:paraId="5D29BDF8" w14:textId="77777777" w:rsidR="004F0E10" w:rsidRPr="004F0E10" w:rsidRDefault="00F42908" w:rsidP="004F0E10">
      <w:pPr>
        <w:pStyle w:val="NormalWeb"/>
        <w:spacing w:before="0" w:beforeAutospacing="0" w:after="0" w:afterAutospacing="0"/>
        <w:rPr>
          <w:color w:val="131313"/>
        </w:rPr>
      </w:pPr>
      <w:r>
        <w:rPr>
          <w:color w:val="131313"/>
        </w:rPr>
        <w:t>Criteria</w:t>
      </w:r>
      <w:r w:rsidRPr="004F0E10">
        <w:rPr>
          <w:color w:val="131313"/>
        </w:rPr>
        <w:t>:</w:t>
      </w:r>
    </w:p>
    <w:p w14:paraId="2569B268" w14:textId="77777777" w:rsidR="004F0E10" w:rsidRPr="00241168" w:rsidRDefault="00F42908" w:rsidP="004757D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131313"/>
        </w:rPr>
      </w:pPr>
      <w:r w:rsidRPr="004F0E10">
        <w:rPr>
          <w:color w:val="131313"/>
        </w:rPr>
        <w:t>Attendees: 500+ verified</w:t>
      </w:r>
      <w:r>
        <w:rPr>
          <w:color w:val="131313"/>
        </w:rPr>
        <w:t xml:space="preserve"> attendees; </w:t>
      </w:r>
      <w:r w:rsidRPr="00241168">
        <w:rPr>
          <w:color w:val="131313"/>
        </w:rPr>
        <w:t>event must be open to the public with no entry costs</w:t>
      </w:r>
    </w:p>
    <w:p w14:paraId="62EDF50E" w14:textId="77777777" w:rsidR="004F0E10" w:rsidRPr="00241168" w:rsidRDefault="00F42908" w:rsidP="004757D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>Max</w:t>
      </w:r>
      <w:r>
        <w:rPr>
          <w:color w:val="131313"/>
        </w:rPr>
        <w:t>imum</w:t>
      </w:r>
      <w:r w:rsidRPr="00241168">
        <w:rPr>
          <w:color w:val="131313"/>
        </w:rPr>
        <w:t xml:space="preserve"> funding: $2,500 (years 1-3); 50% of $2,500 per year (years 4-6).  Years based on cumulative # of years the event has been held. </w:t>
      </w:r>
    </w:p>
    <w:p w14:paraId="5DDEF98B" w14:textId="77777777" w:rsidR="00AD1529" w:rsidRDefault="00F42908" w:rsidP="004757D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Application period: Once per year; based on scoring; application must be approved by TDC at least 120 days before event</w:t>
      </w:r>
    </w:p>
    <w:p w14:paraId="4E183312" w14:textId="77777777" w:rsidR="005805BC" w:rsidRDefault="00F42908" w:rsidP="004757D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Funds: Grant can only be used for reimbursable marketing outside Highlands County; 75% of advertising must be digital online advertising approved in advance by TDC.</w:t>
      </w:r>
    </w:p>
    <w:p w14:paraId="116C10C2" w14:textId="77777777" w:rsidR="001024B5" w:rsidRPr="00241168" w:rsidRDefault="00F42908" w:rsidP="004757D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Eligible organizations:  </w:t>
      </w:r>
      <w:r w:rsidRPr="00241168">
        <w:rPr>
          <w:color w:val="131313"/>
        </w:rPr>
        <w:t xml:space="preserve">Event host and grant applicant must be a Highlands County non-profit organization. </w:t>
      </w:r>
    </w:p>
    <w:p w14:paraId="79CBA66F" w14:textId="77777777" w:rsidR="004F0E10" w:rsidRPr="004F0E10" w:rsidRDefault="00E72B3F" w:rsidP="004F0E10">
      <w:pPr>
        <w:pStyle w:val="NormalWeb"/>
        <w:spacing w:before="0" w:beforeAutospacing="0" w:after="0" w:afterAutospacing="0"/>
        <w:rPr>
          <w:color w:val="131313"/>
        </w:rPr>
      </w:pPr>
    </w:p>
    <w:p w14:paraId="14BCE6DD" w14:textId="77777777" w:rsidR="004F0E10" w:rsidRPr="008371A9" w:rsidRDefault="00F42908" w:rsidP="004F0E10">
      <w:pPr>
        <w:pStyle w:val="NormalWeb"/>
        <w:spacing w:before="0" w:beforeAutospacing="0" w:after="0" w:afterAutospacing="0"/>
        <w:rPr>
          <w:color w:val="131313"/>
          <w:u w:val="single"/>
        </w:rPr>
      </w:pPr>
      <w:r w:rsidRPr="008371A9">
        <w:rPr>
          <w:rStyle w:val="Strong"/>
          <w:color w:val="131313"/>
          <w:u w:val="single"/>
        </w:rPr>
        <w:t>Special Events/Group Meetings or Conferences</w:t>
      </w:r>
    </w:p>
    <w:p w14:paraId="2DF16D8D" w14:textId="77777777" w:rsidR="004F0E10" w:rsidRPr="004F0E10" w:rsidRDefault="00F42908" w:rsidP="002E57CE">
      <w:pPr>
        <w:pStyle w:val="NormalWeb"/>
        <w:spacing w:before="0" w:beforeAutospacing="0" w:after="120" w:afterAutospacing="0"/>
        <w:jc w:val="both"/>
        <w:rPr>
          <w:color w:val="131313"/>
        </w:rPr>
      </w:pPr>
      <w:r w:rsidRPr="004F0E10">
        <w:rPr>
          <w:color w:val="131313"/>
        </w:rPr>
        <w:t xml:space="preserve">For </w:t>
      </w:r>
      <w:r>
        <w:rPr>
          <w:color w:val="131313"/>
        </w:rPr>
        <w:t>special</w:t>
      </w:r>
      <w:r w:rsidRPr="004F0E10">
        <w:rPr>
          <w:color w:val="131313"/>
        </w:rPr>
        <w:t xml:space="preserve"> events or conferences staged in Sebring</w:t>
      </w:r>
      <w:r>
        <w:rPr>
          <w:color w:val="131313"/>
        </w:rPr>
        <w:t>/Highlands County</w:t>
      </w:r>
      <w:r w:rsidRPr="004F0E10">
        <w:rPr>
          <w:color w:val="131313"/>
        </w:rPr>
        <w:t xml:space="preserve"> </w:t>
      </w:r>
      <w:r>
        <w:rPr>
          <w:color w:val="131313"/>
        </w:rPr>
        <w:t xml:space="preserve">during April-December </w:t>
      </w:r>
      <w:r w:rsidRPr="004F0E10">
        <w:rPr>
          <w:color w:val="131313"/>
        </w:rPr>
        <w:t>that attract overnight visitors</w:t>
      </w:r>
      <w:r>
        <w:rPr>
          <w:color w:val="131313"/>
        </w:rPr>
        <w:t xml:space="preserve">; </w:t>
      </w:r>
      <w:r w:rsidRPr="004F0E10">
        <w:rPr>
          <w:color w:val="131313"/>
        </w:rPr>
        <w:t>encourage increased visitor spending in destination</w:t>
      </w:r>
      <w:r>
        <w:rPr>
          <w:color w:val="131313"/>
        </w:rPr>
        <w:t xml:space="preserve">; </w:t>
      </w:r>
      <w:r w:rsidRPr="004F0E10">
        <w:rPr>
          <w:color w:val="131313"/>
        </w:rPr>
        <w:t xml:space="preserve">reinforce a positive image of </w:t>
      </w:r>
      <w:r>
        <w:rPr>
          <w:color w:val="131313"/>
        </w:rPr>
        <w:t xml:space="preserve">the </w:t>
      </w:r>
      <w:r w:rsidRPr="004F0E10">
        <w:rPr>
          <w:color w:val="131313"/>
        </w:rPr>
        <w:t>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; </w:t>
      </w:r>
      <w:r>
        <w:rPr>
          <w:color w:val="131313"/>
        </w:rPr>
        <w:t>amplify the experience economy; leverage and promote the Sebring brand;</w:t>
      </w:r>
      <w:r w:rsidRPr="004F0E10">
        <w:rPr>
          <w:color w:val="131313"/>
        </w:rPr>
        <w:t xml:space="preserve"> and provide added value to the </w:t>
      </w:r>
      <w:r>
        <w:rPr>
          <w:color w:val="131313"/>
        </w:rPr>
        <w:t>v</w:t>
      </w:r>
      <w:r w:rsidRPr="004F0E10">
        <w:rPr>
          <w:color w:val="131313"/>
        </w:rPr>
        <w:t xml:space="preserve">isitor </w:t>
      </w:r>
      <w:r>
        <w:rPr>
          <w:color w:val="131313"/>
        </w:rPr>
        <w:t>e</w:t>
      </w:r>
      <w:r w:rsidRPr="004F0E10">
        <w:rPr>
          <w:color w:val="131313"/>
        </w:rPr>
        <w:t>xperience</w:t>
      </w:r>
      <w:r>
        <w:rPr>
          <w:color w:val="131313"/>
        </w:rPr>
        <w:t>.</w:t>
      </w:r>
    </w:p>
    <w:p w14:paraId="220475B8" w14:textId="77777777" w:rsidR="004F0E10" w:rsidRPr="004F0E10" w:rsidRDefault="00F42908" w:rsidP="004F0E10">
      <w:pPr>
        <w:pStyle w:val="NormalWeb"/>
        <w:spacing w:before="0" w:beforeAutospacing="0" w:after="0" w:afterAutospacing="0"/>
        <w:rPr>
          <w:color w:val="131313"/>
        </w:rPr>
      </w:pPr>
      <w:r>
        <w:rPr>
          <w:color w:val="131313"/>
        </w:rPr>
        <w:t>Criteria</w:t>
      </w:r>
      <w:r w:rsidRPr="004F0E10">
        <w:rPr>
          <w:color w:val="131313"/>
        </w:rPr>
        <w:t>:</w:t>
      </w:r>
    </w:p>
    <w:p w14:paraId="2024CFDD" w14:textId="77777777" w:rsidR="004F0E10" w:rsidRPr="00241168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 xml:space="preserve">Minimum room verifications:  </w:t>
      </w:r>
      <w:r w:rsidRPr="00241168">
        <w:rPr>
          <w:color w:val="131313"/>
        </w:rPr>
        <w:t xml:space="preserve">Verified room night minimum: At least 50 </w:t>
      </w:r>
    </w:p>
    <w:p w14:paraId="3F4717B8" w14:textId="77777777" w:rsidR="00614D36" w:rsidRPr="004F0E10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Special considerations:  Exceptions can be made for January events with room nights verified on weekdays</w:t>
      </w:r>
    </w:p>
    <w:p w14:paraId="2565BDCB" w14:textId="77777777" w:rsidR="004F0E10" w:rsidRPr="00241168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>Max</w:t>
      </w:r>
      <w:r>
        <w:rPr>
          <w:color w:val="131313"/>
        </w:rPr>
        <w:t>imum</w:t>
      </w:r>
      <w:r w:rsidRPr="00241168">
        <w:rPr>
          <w:color w:val="131313"/>
        </w:rPr>
        <w:t xml:space="preserve"> funding: $10,000 based on $20/verified room night</w:t>
      </w:r>
    </w:p>
    <w:p w14:paraId="4B2EE751" w14:textId="77777777" w:rsidR="00AD1529" w:rsidRPr="00241168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 w:rsidRPr="00241168">
        <w:rPr>
          <w:color w:val="131313"/>
        </w:rPr>
        <w:t>Application period: Quarterly at TDC meetings; application must be approved by TDC at least 6 months before event</w:t>
      </w:r>
    </w:p>
    <w:p w14:paraId="616CEEB5" w14:textId="77777777" w:rsidR="001179A8" w:rsidRPr="00241168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t>Eligible uses for funds</w:t>
      </w:r>
      <w:r w:rsidRPr="00241168">
        <w:rPr>
          <w:color w:val="131313"/>
        </w:rPr>
        <w:t xml:space="preserve">: Grant funds can assist with marketing, entertainment (for events open to the public; not for conference attendees only), facility rental, A/V equipment rental, in-county group transportation/tours, etc. </w:t>
      </w:r>
    </w:p>
    <w:p w14:paraId="2B0E7F41" w14:textId="77777777" w:rsidR="00A268AE" w:rsidRPr="00241168" w:rsidRDefault="00F42908" w:rsidP="004757D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131313"/>
        </w:rPr>
      </w:pPr>
      <w:r>
        <w:rPr>
          <w:color w:val="131313"/>
        </w:rPr>
        <w:lastRenderedPageBreak/>
        <w:t xml:space="preserve">Excluded events:  </w:t>
      </w:r>
      <w:r w:rsidRPr="00241168">
        <w:rPr>
          <w:color w:val="131313"/>
        </w:rPr>
        <w:t xml:space="preserve">Not applicable for exclusive events such as weddings, family reunions, class reunions, etc. </w:t>
      </w:r>
    </w:p>
    <w:p w14:paraId="6634B0DC" w14:textId="77777777" w:rsidR="004F0E10" w:rsidRPr="004F0E10" w:rsidRDefault="00E72B3F" w:rsidP="004F0E10">
      <w:pPr>
        <w:pStyle w:val="NormalWeb"/>
        <w:spacing w:before="0" w:beforeAutospacing="0" w:after="0" w:afterAutospacing="0"/>
        <w:rPr>
          <w:color w:val="131313"/>
        </w:rPr>
      </w:pPr>
    </w:p>
    <w:p w14:paraId="0E71D65F" w14:textId="77777777" w:rsidR="004F0E10" w:rsidRPr="008371A9" w:rsidRDefault="00F42908" w:rsidP="004F0E10">
      <w:pPr>
        <w:pStyle w:val="NormalWeb"/>
        <w:spacing w:before="0" w:beforeAutospacing="0" w:after="0" w:afterAutospacing="0"/>
        <w:rPr>
          <w:color w:val="131313"/>
          <w:u w:val="single"/>
        </w:rPr>
      </w:pPr>
      <w:r w:rsidRPr="008371A9">
        <w:rPr>
          <w:rStyle w:val="Strong"/>
          <w:color w:val="131313"/>
          <w:u w:val="single"/>
        </w:rPr>
        <w:t xml:space="preserve">Sporting Events </w:t>
      </w:r>
    </w:p>
    <w:p w14:paraId="4039A3F3" w14:textId="77777777" w:rsidR="004F0E10" w:rsidRPr="004F0E10" w:rsidRDefault="00F42908" w:rsidP="00815A5C">
      <w:pPr>
        <w:pStyle w:val="NormalWeb"/>
        <w:spacing w:before="0" w:beforeAutospacing="0" w:after="120" w:afterAutospacing="0"/>
        <w:rPr>
          <w:color w:val="131313"/>
        </w:rPr>
      </w:pPr>
      <w:r w:rsidRPr="004F0E10">
        <w:rPr>
          <w:color w:val="131313"/>
        </w:rPr>
        <w:t>For sporting events staged in Sebring</w:t>
      </w:r>
      <w:r>
        <w:rPr>
          <w:color w:val="131313"/>
        </w:rPr>
        <w:t>/Highlands County</w:t>
      </w:r>
      <w:r w:rsidRPr="004F0E10">
        <w:rPr>
          <w:color w:val="131313"/>
        </w:rPr>
        <w:t xml:space="preserve"> </w:t>
      </w:r>
      <w:r>
        <w:rPr>
          <w:color w:val="131313"/>
        </w:rPr>
        <w:t xml:space="preserve">during April-December </w:t>
      </w:r>
      <w:r w:rsidRPr="004F0E10">
        <w:rPr>
          <w:color w:val="131313"/>
        </w:rPr>
        <w:t>that attract overnight visitors</w:t>
      </w:r>
      <w:r>
        <w:rPr>
          <w:color w:val="131313"/>
        </w:rPr>
        <w:t xml:space="preserve">; </w:t>
      </w:r>
      <w:r w:rsidRPr="004F0E10">
        <w:rPr>
          <w:color w:val="131313"/>
        </w:rPr>
        <w:t>encourage increased visitor spending in destination</w:t>
      </w:r>
      <w:r>
        <w:rPr>
          <w:color w:val="131313"/>
        </w:rPr>
        <w:t xml:space="preserve">; </w:t>
      </w:r>
      <w:r w:rsidRPr="004F0E10">
        <w:rPr>
          <w:color w:val="131313"/>
        </w:rPr>
        <w:t xml:space="preserve">reinforce a positive image of </w:t>
      </w:r>
      <w:r>
        <w:rPr>
          <w:color w:val="131313"/>
        </w:rPr>
        <w:t xml:space="preserve">the </w:t>
      </w:r>
      <w:r w:rsidRPr="004F0E10">
        <w:rPr>
          <w:color w:val="131313"/>
        </w:rPr>
        <w:t>Sebring</w:t>
      </w:r>
      <w:r>
        <w:rPr>
          <w:color w:val="131313"/>
        </w:rPr>
        <w:t xml:space="preserve"> area</w:t>
      </w:r>
      <w:r w:rsidRPr="004F0E10">
        <w:rPr>
          <w:color w:val="131313"/>
        </w:rPr>
        <w:t xml:space="preserve">; </w:t>
      </w:r>
      <w:r>
        <w:rPr>
          <w:color w:val="131313"/>
        </w:rPr>
        <w:t>amplify the experience economy; leverage and promote the Sebring brand;</w:t>
      </w:r>
      <w:r w:rsidRPr="004F0E10">
        <w:rPr>
          <w:color w:val="131313"/>
        </w:rPr>
        <w:t xml:space="preserve"> and provide added value to the </w:t>
      </w:r>
      <w:r>
        <w:rPr>
          <w:color w:val="131313"/>
        </w:rPr>
        <w:t>v</w:t>
      </w:r>
      <w:r w:rsidRPr="004F0E10">
        <w:rPr>
          <w:color w:val="131313"/>
        </w:rPr>
        <w:t xml:space="preserve">isitor </w:t>
      </w:r>
      <w:r>
        <w:rPr>
          <w:color w:val="131313"/>
        </w:rPr>
        <w:t>e</w:t>
      </w:r>
      <w:r w:rsidRPr="004F0E10">
        <w:rPr>
          <w:color w:val="131313"/>
        </w:rPr>
        <w:t>xperience</w:t>
      </w:r>
      <w:r>
        <w:rPr>
          <w:color w:val="131313"/>
        </w:rPr>
        <w:t>.</w:t>
      </w:r>
    </w:p>
    <w:p w14:paraId="7E5365E8" w14:textId="77777777" w:rsidR="004F0E10" w:rsidRPr="004757D4" w:rsidRDefault="00F42908" w:rsidP="00815A5C">
      <w:pPr>
        <w:pStyle w:val="NormalWeb"/>
        <w:spacing w:before="0" w:beforeAutospacing="0" w:after="0" w:afterAutospacing="0"/>
        <w:jc w:val="both"/>
        <w:rPr>
          <w:color w:val="131313"/>
        </w:rPr>
      </w:pPr>
      <w:r w:rsidRPr="004757D4">
        <w:rPr>
          <w:color w:val="131313"/>
        </w:rPr>
        <w:t>Criteria:</w:t>
      </w:r>
    </w:p>
    <w:p w14:paraId="6079842B" w14:textId="77777777" w:rsidR="004F0E10" w:rsidRPr="004757D4" w:rsidRDefault="00F42908" w:rsidP="007C17A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131313"/>
        </w:rPr>
      </w:pPr>
      <w:r w:rsidRPr="004757D4">
        <w:rPr>
          <w:color w:val="131313"/>
        </w:rPr>
        <w:t>Minimum room verifications: At least 100 verified room nights</w:t>
      </w:r>
    </w:p>
    <w:p w14:paraId="30D04E72" w14:textId="77777777" w:rsidR="00764B9A" w:rsidRPr="004757D4" w:rsidRDefault="00F42908" w:rsidP="007C17A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131313"/>
        </w:rPr>
      </w:pPr>
      <w:r w:rsidRPr="004757D4">
        <w:rPr>
          <w:color w:val="131313"/>
        </w:rPr>
        <w:t>Maximum funding: $20,000 based on $20/verified room night</w:t>
      </w:r>
    </w:p>
    <w:p w14:paraId="425E49AD" w14:textId="77777777" w:rsidR="00AD1529" w:rsidRPr="004757D4" w:rsidRDefault="00F42908" w:rsidP="007C17A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color w:val="131313"/>
        </w:rPr>
      </w:pPr>
      <w:r w:rsidRPr="004757D4">
        <w:rPr>
          <w:color w:val="131313"/>
        </w:rPr>
        <w:t>Application period: Quarterly at TDC meetings; application must be approved by TDC at least 6 months before event (exceptions can be made for tournaments with late notice by host organization)</w:t>
      </w:r>
    </w:p>
    <w:p w14:paraId="363D38A8" w14:textId="17AB2EEA" w:rsidR="00427DAD" w:rsidRPr="004757D4" w:rsidRDefault="00F42908" w:rsidP="007C17A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4757D4">
        <w:rPr>
          <w:color w:val="131313"/>
        </w:rPr>
        <w:t>Eligible uses for funds: Grant funds can assist with out-of-county advertising and marketing, bid or hosting fees, facility rental, event officials (umpires, judges, etc.), TDC staff approved event shirts or promotional items</w:t>
      </w:r>
      <w:r w:rsidR="00FC5922">
        <w:rPr>
          <w:color w:val="131313"/>
        </w:rPr>
        <w:t xml:space="preserve"> and </w:t>
      </w:r>
      <w:r w:rsidR="00FC5922" w:rsidRPr="00412B99">
        <w:rPr>
          <w:color w:val="000000" w:themeColor="text1"/>
        </w:rPr>
        <w:t>MOT fees</w:t>
      </w:r>
      <w:r w:rsidRPr="00412B99">
        <w:rPr>
          <w:color w:val="000000" w:themeColor="text1"/>
        </w:rPr>
        <w:t>.</w:t>
      </w:r>
    </w:p>
    <w:p w14:paraId="65B35175" w14:textId="77777777" w:rsidR="002C10C0" w:rsidRPr="004757D4" w:rsidRDefault="00E72B3F" w:rsidP="00815A5C">
      <w:pPr>
        <w:pStyle w:val="NormalWeb"/>
        <w:spacing w:before="0" w:beforeAutospacing="0" w:after="0" w:afterAutospacing="0"/>
        <w:ind w:left="720"/>
        <w:jc w:val="both"/>
      </w:pPr>
    </w:p>
    <w:p w14:paraId="2B48D9D6" w14:textId="77777777" w:rsidR="00427DAD" w:rsidRPr="008371A9" w:rsidRDefault="00F42908" w:rsidP="00427DAD">
      <w:pPr>
        <w:rPr>
          <w:rFonts w:ascii="Times New Roman" w:hAnsi="Times New Roman" w:cs="Times New Roman"/>
          <w:b/>
          <w:bCs/>
          <w:u w:val="single"/>
        </w:rPr>
      </w:pPr>
      <w:r w:rsidRPr="008371A9">
        <w:rPr>
          <w:rFonts w:ascii="Times New Roman" w:hAnsi="Times New Roman" w:cs="Times New Roman"/>
          <w:b/>
          <w:bCs/>
          <w:u w:val="single"/>
        </w:rPr>
        <w:t>TDC Event Support Without a Grant</w:t>
      </w:r>
    </w:p>
    <w:p w14:paraId="24D9A289" w14:textId="77777777" w:rsidR="00427DAD" w:rsidRPr="00427DAD" w:rsidRDefault="00F42908" w:rsidP="00815A5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 xml:space="preserve">Some events attract large numbers of day visitors with little to no overnight room night stays. These events have a positive effect in contributing to the vitality of </w:t>
      </w:r>
      <w:r>
        <w:rPr>
          <w:rFonts w:ascii="Times New Roman" w:eastAsia="Times New Roman" w:hAnsi="Times New Roman" w:cs="Times New Roman"/>
        </w:rPr>
        <w:t>the Sebring area</w:t>
      </w:r>
      <w:r w:rsidRPr="00427DAD">
        <w:rPr>
          <w:rFonts w:ascii="Times New Roman" w:eastAsia="Times New Roman" w:hAnsi="Times New Roman" w:cs="Times New Roman"/>
        </w:rPr>
        <w:t xml:space="preserve"> and attracti</w:t>
      </w:r>
      <w:r>
        <w:rPr>
          <w:rFonts w:ascii="Times New Roman" w:eastAsia="Times New Roman" w:hAnsi="Times New Roman" w:cs="Times New Roman"/>
        </w:rPr>
        <w:t>on</w:t>
      </w:r>
      <w:r w:rsidRPr="00427D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 w:rsidRPr="00427DAD">
        <w:rPr>
          <w:rFonts w:ascii="Times New Roman" w:eastAsia="Times New Roman" w:hAnsi="Times New Roman" w:cs="Times New Roman"/>
        </w:rPr>
        <w:t>potential tourists. Therefore, the TDC may support these events</w:t>
      </w:r>
      <w:r>
        <w:rPr>
          <w:rFonts w:ascii="Times New Roman" w:eastAsia="Times New Roman" w:hAnsi="Times New Roman" w:cs="Times New Roman"/>
        </w:rPr>
        <w:t>, at the discretion of TDC staff,</w:t>
      </w:r>
      <w:r w:rsidRPr="00427DAD">
        <w:rPr>
          <w:rFonts w:ascii="Times New Roman" w:eastAsia="Times New Roman" w:hAnsi="Times New Roman" w:cs="Times New Roman"/>
        </w:rPr>
        <w:t xml:space="preserve"> that are open to the public through non‐grant/non-monetary avenues, such as: </w:t>
      </w:r>
    </w:p>
    <w:p w14:paraId="4C3D39A9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>Collateral fulfillment of area tourism information</w:t>
      </w:r>
    </w:p>
    <w:p w14:paraId="63D9E4B4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503E3">
        <w:rPr>
          <w:rFonts w:ascii="Times New Roman" w:eastAsia="Times New Roman" w:hAnsi="Times New Roman" w:cs="Times New Roman"/>
          <w:i/>
        </w:rPr>
        <w:t>Visit Sebring</w:t>
      </w:r>
      <w:r w:rsidRPr="00427DAD">
        <w:rPr>
          <w:rFonts w:ascii="Times New Roman" w:eastAsia="Times New Roman" w:hAnsi="Times New Roman" w:cs="Times New Roman"/>
        </w:rPr>
        <w:t xml:space="preserve"> promotional branded material fulfillment </w:t>
      </w:r>
    </w:p>
    <w:p w14:paraId="3927C534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 xml:space="preserve">Request for Proposal (RFP) distribution </w:t>
      </w:r>
    </w:p>
    <w:p w14:paraId="45C52060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>Public relations support</w:t>
      </w:r>
    </w:p>
    <w:p w14:paraId="3677DD77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 xml:space="preserve">Photo/video support </w:t>
      </w:r>
    </w:p>
    <w:p w14:paraId="2F77E8DC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 xml:space="preserve">Social media/calendar/website listing </w:t>
      </w:r>
    </w:p>
    <w:p w14:paraId="262D1677" w14:textId="77777777" w:rsidR="00427DAD" w:rsidRPr="00427DAD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27DAD">
        <w:rPr>
          <w:rFonts w:ascii="Times New Roman" w:eastAsia="Times New Roman" w:hAnsi="Times New Roman" w:cs="Times New Roman"/>
        </w:rPr>
        <w:t xml:space="preserve">Referrals to County/City departments </w:t>
      </w:r>
    </w:p>
    <w:p w14:paraId="2AC3A534" w14:textId="77777777" w:rsidR="00427DAD" w:rsidRPr="00B23E69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3E69">
        <w:rPr>
          <w:rFonts w:ascii="Times New Roman" w:eastAsia="Times New Roman" w:hAnsi="Times New Roman" w:cs="Times New Roman"/>
        </w:rPr>
        <w:t>Research data collection</w:t>
      </w:r>
    </w:p>
    <w:p w14:paraId="2EA58ACB" w14:textId="77777777" w:rsidR="00427DAD" w:rsidRPr="00B23E69" w:rsidRDefault="00F42908" w:rsidP="00427DA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3E69">
        <w:rPr>
          <w:rFonts w:ascii="Times New Roman" w:eastAsia="Times New Roman" w:hAnsi="Times New Roman" w:cs="Times New Roman"/>
        </w:rPr>
        <w:t>Consultation to grow events to attract overnight visitors</w:t>
      </w:r>
    </w:p>
    <w:p w14:paraId="1FCA4B7D" w14:textId="77777777" w:rsidR="00E31630" w:rsidRDefault="00E72B3F" w:rsidP="004F0E10">
      <w:pPr>
        <w:rPr>
          <w:rFonts w:ascii="Times New Roman" w:hAnsi="Times New Roman" w:cs="Times New Roman"/>
          <w:b/>
          <w:bCs/>
        </w:rPr>
      </w:pPr>
    </w:p>
    <w:p w14:paraId="2EBEC7AA" w14:textId="77777777" w:rsidR="00E31630" w:rsidRPr="008371A9" w:rsidRDefault="00F42908" w:rsidP="004F0E10">
      <w:pPr>
        <w:rPr>
          <w:rFonts w:ascii="Times New Roman" w:hAnsi="Times New Roman" w:cs="Times New Roman"/>
          <w:b/>
          <w:bCs/>
          <w:u w:val="single"/>
        </w:rPr>
      </w:pPr>
      <w:r w:rsidRPr="008371A9">
        <w:rPr>
          <w:rFonts w:ascii="Times New Roman" w:hAnsi="Times New Roman" w:cs="Times New Roman"/>
          <w:b/>
          <w:bCs/>
          <w:u w:val="single"/>
        </w:rPr>
        <w:t>Other Grant Funding Sources</w:t>
      </w:r>
    </w:p>
    <w:p w14:paraId="67FE82A5" w14:textId="77777777" w:rsidR="00E31630" w:rsidRPr="00427DAD" w:rsidRDefault="00F42908" w:rsidP="00427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DAD">
        <w:rPr>
          <w:rFonts w:ascii="Times New Roman" w:hAnsi="Times New Roman" w:cs="Times New Roman"/>
        </w:rPr>
        <w:t xml:space="preserve">VISIT FLORIDA: </w:t>
      </w:r>
      <w:hyperlink r:id="rId7" w:history="1">
        <w:r w:rsidRPr="00427DAD">
          <w:rPr>
            <w:rStyle w:val="Hyperlink"/>
            <w:rFonts w:ascii="Times New Roman" w:hAnsi="Times New Roman" w:cs="Times New Roman"/>
          </w:rPr>
          <w:t>https://www.visitflorida.org/resources/grants/</w:t>
        </w:r>
      </w:hyperlink>
    </w:p>
    <w:p w14:paraId="29E6F57E" w14:textId="77777777" w:rsidR="00E31630" w:rsidRPr="00427DAD" w:rsidRDefault="00F42908" w:rsidP="00427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7DAD">
        <w:rPr>
          <w:rFonts w:ascii="Times New Roman" w:hAnsi="Times New Roman" w:cs="Times New Roman"/>
        </w:rPr>
        <w:t xml:space="preserve">Florida Dept. of State, Div. of Cultural Affairs: </w:t>
      </w:r>
      <w:hyperlink r:id="rId8" w:history="1">
        <w:r w:rsidRPr="00427DAD">
          <w:rPr>
            <w:rStyle w:val="Hyperlink"/>
            <w:rFonts w:ascii="Times New Roman" w:hAnsi="Times New Roman" w:cs="Times New Roman"/>
          </w:rPr>
          <w:t>https://dos.myflorida.com/cultural/grants/</w:t>
        </w:r>
      </w:hyperlink>
    </w:p>
    <w:p w14:paraId="1C64BECA" w14:textId="77777777" w:rsidR="0050097B" w:rsidRPr="0050097B" w:rsidRDefault="00F42908" w:rsidP="0050097B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427DAD">
        <w:rPr>
          <w:rFonts w:ascii="Times New Roman" w:hAnsi="Times New Roman" w:cs="Times New Roman"/>
        </w:rPr>
        <w:t xml:space="preserve">Sebring Community Redevelopment Agency: </w:t>
      </w:r>
      <w:hyperlink r:id="rId9" w:history="1">
        <w:r w:rsidRPr="00427DAD">
          <w:rPr>
            <w:rStyle w:val="Hyperlink"/>
            <w:rFonts w:ascii="Times New Roman" w:hAnsi="Times New Roman" w:cs="Times New Roman"/>
          </w:rPr>
          <w:t>http://downtownsebring.org/cra/grants/</w:t>
        </w:r>
      </w:hyperlink>
    </w:p>
    <w:p w14:paraId="5FF800F4" w14:textId="77777777" w:rsidR="0050097B" w:rsidRDefault="00F42908" w:rsidP="00500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Avon Park Community Redevelopment Agency: </w:t>
      </w:r>
      <w:hyperlink r:id="rId10" w:history="1">
        <w:r w:rsidRPr="00962533">
          <w:rPr>
            <w:rStyle w:val="Hyperlink"/>
            <w:rFonts w:ascii="Times New Roman" w:hAnsi="Times New Roman" w:cs="Times New Roman"/>
          </w:rPr>
          <w:t>http://www.avonparkcra.com</w:t>
        </w:r>
      </w:hyperlink>
    </w:p>
    <w:p w14:paraId="48498BF9" w14:textId="77777777" w:rsidR="0050097B" w:rsidRPr="0050097B" w:rsidRDefault="00E72B3F" w:rsidP="0050097B">
      <w:pPr>
        <w:pStyle w:val="ListParagraph"/>
        <w:rPr>
          <w:rFonts w:ascii="Times New Roman" w:hAnsi="Times New Roman" w:cs="Times New Roman"/>
        </w:rPr>
      </w:pPr>
    </w:p>
    <w:p w14:paraId="488BA88C" w14:textId="77777777" w:rsidR="00427DAD" w:rsidRDefault="00E72B3F" w:rsidP="00427DAD">
      <w:pPr>
        <w:rPr>
          <w:rFonts w:ascii="Times New Roman" w:hAnsi="Times New Roman" w:cs="Times New Roman"/>
        </w:rPr>
      </w:pPr>
    </w:p>
    <w:p w14:paraId="30CDDB93" w14:textId="77777777" w:rsidR="00E31630" w:rsidRPr="008371A9" w:rsidRDefault="00E72B3F" w:rsidP="004F0E10">
      <w:pPr>
        <w:rPr>
          <w:rFonts w:ascii="Times New Roman" w:hAnsi="Times New Roman" w:cs="Times New Roman"/>
          <w:sz w:val="12"/>
          <w:szCs w:val="12"/>
        </w:rPr>
      </w:pPr>
    </w:p>
    <w:sectPr w:rsidR="00E31630" w:rsidRPr="008371A9" w:rsidSect="005D390C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D5C8" w14:textId="77777777" w:rsidR="00E72B3F" w:rsidRDefault="00E72B3F">
      <w:r>
        <w:separator/>
      </w:r>
    </w:p>
  </w:endnote>
  <w:endnote w:type="continuationSeparator" w:id="0">
    <w:p w14:paraId="45AA76B9" w14:textId="77777777" w:rsidR="00E72B3F" w:rsidRDefault="00E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5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A38BA" w14:textId="77777777" w:rsidR="005D390C" w:rsidRDefault="00F42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F2E09" w14:textId="77777777" w:rsidR="005D390C" w:rsidRDefault="00E7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DE5" w14:textId="77777777" w:rsidR="00E72B3F" w:rsidRDefault="00E72B3F">
      <w:r>
        <w:separator/>
      </w:r>
    </w:p>
  </w:footnote>
  <w:footnote w:type="continuationSeparator" w:id="0">
    <w:p w14:paraId="5B6C9359" w14:textId="77777777" w:rsidR="00E72B3F" w:rsidRDefault="00E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BE"/>
    <w:multiLevelType w:val="hybridMultilevel"/>
    <w:tmpl w:val="47AADC76"/>
    <w:lvl w:ilvl="0" w:tplc="BD529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2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CB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C5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1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3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4D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6F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21"/>
    <w:multiLevelType w:val="hybridMultilevel"/>
    <w:tmpl w:val="5C86FA0E"/>
    <w:lvl w:ilvl="0" w:tplc="03D8E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2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2D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7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E4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61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81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F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CC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93B"/>
    <w:multiLevelType w:val="hybridMultilevel"/>
    <w:tmpl w:val="2D987A84"/>
    <w:lvl w:ilvl="0" w:tplc="A2B6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8A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EB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C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4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2E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9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F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E7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A79"/>
    <w:multiLevelType w:val="multilevel"/>
    <w:tmpl w:val="54E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31432"/>
    <w:multiLevelType w:val="hybridMultilevel"/>
    <w:tmpl w:val="0292134C"/>
    <w:lvl w:ilvl="0" w:tplc="6E226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CF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20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E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5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20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8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D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02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E59"/>
    <w:multiLevelType w:val="hybridMultilevel"/>
    <w:tmpl w:val="D55A9F30"/>
    <w:lvl w:ilvl="0" w:tplc="47FE6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A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EC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8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2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A4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01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0B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31E8"/>
    <w:multiLevelType w:val="hybridMultilevel"/>
    <w:tmpl w:val="83C45A7C"/>
    <w:lvl w:ilvl="0" w:tplc="D228F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292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AD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0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C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A0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6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84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8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45B7"/>
    <w:multiLevelType w:val="hybridMultilevel"/>
    <w:tmpl w:val="6AE08CD8"/>
    <w:lvl w:ilvl="0" w:tplc="65A0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67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6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5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1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AB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02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A8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68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22"/>
    <w:rsid w:val="00412B99"/>
    <w:rsid w:val="00E72B3F"/>
    <w:rsid w:val="00F42908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42361"/>
  <w15:docId w15:val="{26944033-4E74-4E47-B331-2B23E9EA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E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0E10"/>
    <w:rPr>
      <w:b/>
      <w:bCs/>
    </w:rPr>
  </w:style>
  <w:style w:type="character" w:customStyle="1" w:styleId="apple-converted-space">
    <w:name w:val="apple-converted-space"/>
    <w:basedOn w:val="DefaultParagraphFont"/>
    <w:rsid w:val="00D618EA"/>
  </w:style>
  <w:style w:type="character" w:styleId="Hyperlink">
    <w:name w:val="Hyperlink"/>
    <w:basedOn w:val="DefaultParagraphFont"/>
    <w:uiPriority w:val="99"/>
    <w:unhideWhenUsed/>
    <w:rsid w:val="00E316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D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0C"/>
  </w:style>
  <w:style w:type="paragraph" w:styleId="Footer">
    <w:name w:val="footer"/>
    <w:basedOn w:val="Normal"/>
    <w:link w:val="FooterChar"/>
    <w:uiPriority w:val="99"/>
    <w:unhideWhenUsed/>
    <w:rsid w:val="005D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0C"/>
  </w:style>
  <w:style w:type="paragraph" w:styleId="BalloonText">
    <w:name w:val="Balloon Text"/>
    <w:basedOn w:val="Normal"/>
    <w:link w:val="BalloonTextChar"/>
    <w:uiPriority w:val="99"/>
    <w:semiHidden/>
    <w:unhideWhenUsed/>
    <w:rsid w:val="00CB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myflorida.com/cultural/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sitflorida.org/resources/gra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vonparkc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townsebring.org/cra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Wohl</cp:lastModifiedBy>
  <cp:revision>2</cp:revision>
  <dcterms:created xsi:type="dcterms:W3CDTF">2021-11-15T17:10:00Z</dcterms:created>
  <dcterms:modified xsi:type="dcterms:W3CDTF">2021-11-15T17:10:00Z</dcterms:modified>
</cp:coreProperties>
</file>